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82" w:rsidRPr="00A85C82" w:rsidRDefault="00A85C82" w:rsidP="00022D9E">
      <w:pPr>
        <w:spacing w:after="0" w:line="240" w:lineRule="auto"/>
        <w:jc w:val="both"/>
        <w:outlineLvl w:val="0"/>
        <w:rPr>
          <w:rFonts w:ascii="TheSans UHH" w:eastAsia="Times New Roman" w:hAnsi="TheSans UHH" w:cs="Times New Roman"/>
          <w:bCs/>
          <w:kern w:val="36"/>
          <w:sz w:val="20"/>
          <w:szCs w:val="20"/>
          <w:lang w:eastAsia="de-DE"/>
        </w:rPr>
      </w:pPr>
      <w:r w:rsidRPr="00A85C82">
        <w:rPr>
          <w:rFonts w:ascii="TheSans UHH" w:eastAsia="Times New Roman" w:hAnsi="TheSans UHH" w:cs="Times New Roman"/>
          <w:bCs/>
          <w:kern w:val="36"/>
          <w:sz w:val="20"/>
          <w:szCs w:val="20"/>
          <w:lang w:eastAsia="de-DE"/>
        </w:rPr>
        <w:t>Menschen Recht Inklusion</w:t>
      </w:r>
    </w:p>
    <w:p w:rsidR="00022D9E" w:rsidRPr="000515B4" w:rsidRDefault="00A85C82" w:rsidP="00022D9E">
      <w:pPr>
        <w:spacing w:after="0" w:line="240" w:lineRule="auto"/>
        <w:jc w:val="both"/>
        <w:outlineLvl w:val="2"/>
        <w:rPr>
          <w:rFonts w:ascii="TheSans UHH" w:eastAsia="Times New Roman" w:hAnsi="TheSans UHH" w:cs="Times New Roman"/>
          <w:bCs/>
          <w:sz w:val="18"/>
          <w:szCs w:val="18"/>
          <w:lang w:eastAsia="de-DE"/>
        </w:rPr>
      </w:pPr>
      <w:r w:rsidRPr="00A85C82">
        <w:rPr>
          <w:rFonts w:ascii="TheSans UHH" w:eastAsia="Times New Roman" w:hAnsi="TheSans UHH" w:cs="Times New Roman"/>
          <w:bCs/>
          <w:sz w:val="18"/>
          <w:szCs w:val="18"/>
          <w:lang w:eastAsia="de-DE"/>
        </w:rPr>
        <w:t>Internationale Fachtagung zur Umsetzung der</w:t>
      </w:r>
      <w:r w:rsidR="00022D9E" w:rsidRPr="000515B4">
        <w:rPr>
          <w:rFonts w:ascii="TheSans UHH" w:eastAsia="Times New Roman" w:hAnsi="TheSans UHH" w:cs="Times New Roman"/>
          <w:bCs/>
          <w:sz w:val="18"/>
          <w:szCs w:val="18"/>
          <w:lang w:eastAsia="de-DE"/>
        </w:rPr>
        <w:t xml:space="preserve"> </w:t>
      </w:r>
      <w:r w:rsidRPr="00A85C82">
        <w:rPr>
          <w:rFonts w:ascii="TheSans UHH" w:eastAsia="Times New Roman" w:hAnsi="TheSans UHH" w:cs="Times New Roman"/>
          <w:bCs/>
          <w:sz w:val="18"/>
          <w:szCs w:val="18"/>
          <w:lang w:eastAsia="de-DE"/>
        </w:rPr>
        <w:t>VN-Behindertenrechtskonvention in der Praxis</w:t>
      </w:r>
    </w:p>
    <w:p w:rsidR="00A85C82" w:rsidRPr="00A85C82" w:rsidRDefault="00022D9E" w:rsidP="000515B4">
      <w:pPr>
        <w:spacing w:after="600" w:line="240" w:lineRule="auto"/>
        <w:jc w:val="both"/>
        <w:outlineLvl w:val="2"/>
        <w:rPr>
          <w:rFonts w:ascii="TheSans UHH" w:eastAsia="Times New Roman" w:hAnsi="TheSans UHH" w:cs="Times New Roman"/>
          <w:bCs/>
          <w:sz w:val="18"/>
          <w:szCs w:val="18"/>
          <w:lang w:eastAsia="de-DE"/>
        </w:rPr>
      </w:pPr>
      <w:r w:rsidRPr="000515B4">
        <w:rPr>
          <w:rFonts w:ascii="TheSans UHH" w:eastAsia="Times New Roman" w:hAnsi="TheSans UHH" w:cs="Times New Roman"/>
          <w:bCs/>
          <w:sz w:val="18"/>
          <w:szCs w:val="18"/>
          <w:lang w:eastAsia="de-DE"/>
        </w:rPr>
        <w:t xml:space="preserve">EFH Bochum, </w:t>
      </w:r>
      <w:r w:rsidR="00A85C82" w:rsidRPr="00A85C82">
        <w:rPr>
          <w:rFonts w:ascii="TheSans UHH" w:eastAsia="Times New Roman" w:hAnsi="TheSans UHH" w:cs="Times New Roman"/>
          <w:bCs/>
          <w:sz w:val="18"/>
          <w:szCs w:val="18"/>
          <w:lang w:eastAsia="de-DE"/>
        </w:rPr>
        <w:t>6. bis 8. Juni 2013</w:t>
      </w:r>
    </w:p>
    <w:p w:rsidR="00022D9E" w:rsidRPr="000515B4" w:rsidRDefault="00022D9E" w:rsidP="0004588E">
      <w:pPr>
        <w:spacing w:after="0"/>
        <w:jc w:val="center"/>
        <w:rPr>
          <w:rFonts w:ascii="TheSans UHH" w:hAnsi="TheSans UHH"/>
          <w:b/>
          <w:sz w:val="32"/>
          <w:szCs w:val="32"/>
        </w:rPr>
      </w:pPr>
      <w:r w:rsidRPr="000515B4">
        <w:rPr>
          <w:rFonts w:ascii="TheSans UHH" w:hAnsi="TheSans UHH"/>
          <w:b/>
          <w:sz w:val="32"/>
          <w:szCs w:val="32"/>
        </w:rPr>
        <w:t>Workshop</w:t>
      </w:r>
    </w:p>
    <w:p w:rsidR="00BC7905" w:rsidRPr="000515B4" w:rsidRDefault="008A6A9A" w:rsidP="0004588E">
      <w:pPr>
        <w:spacing w:after="600"/>
        <w:jc w:val="center"/>
        <w:rPr>
          <w:rFonts w:ascii="TheSans UHH" w:hAnsi="TheSans UHH"/>
          <w:b/>
          <w:sz w:val="28"/>
          <w:szCs w:val="28"/>
        </w:rPr>
      </w:pPr>
      <w:r w:rsidRPr="000515B4">
        <w:rPr>
          <w:rFonts w:ascii="TheSans UHH" w:hAnsi="TheSans UHH"/>
          <w:b/>
          <w:sz w:val="28"/>
          <w:szCs w:val="28"/>
        </w:rPr>
        <w:t>‚</w:t>
      </w:r>
      <w:r w:rsidR="00BC7905" w:rsidRPr="000515B4">
        <w:rPr>
          <w:rFonts w:ascii="TheSans UHH" w:hAnsi="TheSans UHH"/>
          <w:b/>
          <w:sz w:val="28"/>
          <w:szCs w:val="28"/>
        </w:rPr>
        <w:t xml:space="preserve">Verbergen oder enthüllen? </w:t>
      </w:r>
      <w:r w:rsidR="00490D60" w:rsidRPr="000515B4">
        <w:rPr>
          <w:rFonts w:ascii="TheSans UHH" w:hAnsi="TheSans UHH"/>
          <w:b/>
          <w:sz w:val="28"/>
          <w:szCs w:val="28"/>
        </w:rPr>
        <w:t xml:space="preserve">Zu </w:t>
      </w:r>
      <w:r w:rsidR="00BC7905" w:rsidRPr="000515B4">
        <w:rPr>
          <w:rFonts w:ascii="TheSans UHH" w:hAnsi="TheSans UHH"/>
          <w:b/>
          <w:sz w:val="28"/>
          <w:szCs w:val="28"/>
        </w:rPr>
        <w:t>Chancen und Risiken des Offen</w:t>
      </w:r>
      <w:r w:rsidR="00E05690" w:rsidRPr="000515B4">
        <w:rPr>
          <w:rFonts w:ascii="TheSans UHH" w:hAnsi="TheSans UHH"/>
          <w:b/>
          <w:sz w:val="28"/>
          <w:szCs w:val="28"/>
        </w:rPr>
        <w:t>barens</w:t>
      </w:r>
      <w:r w:rsidRPr="000515B4">
        <w:rPr>
          <w:rFonts w:ascii="TheSans UHH" w:hAnsi="TheSans UHH"/>
          <w:b/>
          <w:sz w:val="28"/>
          <w:szCs w:val="28"/>
        </w:rPr>
        <w:t>‘</w:t>
      </w:r>
    </w:p>
    <w:p w:rsidR="00022D9E" w:rsidRPr="00CE255F" w:rsidRDefault="003351EF" w:rsidP="0032310F">
      <w:pPr>
        <w:spacing w:after="100"/>
        <w:jc w:val="both"/>
        <w:rPr>
          <w:rFonts w:ascii="TheSans UHH" w:hAnsi="TheSans UHH"/>
          <w:b/>
          <w:sz w:val="24"/>
          <w:szCs w:val="24"/>
        </w:rPr>
      </w:pPr>
      <w:proofErr w:type="spellStart"/>
      <w:r>
        <w:rPr>
          <w:rFonts w:ascii="TheSans UHH" w:hAnsi="TheSans UHH"/>
          <w:b/>
          <w:sz w:val="24"/>
          <w:szCs w:val="24"/>
        </w:rPr>
        <w:t>Refererierende</w:t>
      </w:r>
      <w:proofErr w:type="spellEnd"/>
    </w:p>
    <w:p w:rsidR="00022D9E" w:rsidRDefault="00BC7905" w:rsidP="0004588E">
      <w:pPr>
        <w:spacing w:after="0"/>
        <w:jc w:val="both"/>
        <w:rPr>
          <w:rFonts w:ascii="TheSans UHH" w:hAnsi="TheSans UHH"/>
        </w:rPr>
      </w:pPr>
      <w:r w:rsidRPr="00022D9E">
        <w:rPr>
          <w:rFonts w:ascii="TheSans UHH" w:hAnsi="TheSans UHH"/>
        </w:rPr>
        <w:t>Dr. Maike Gattermann-Kasper</w:t>
      </w:r>
      <w:r w:rsidR="00022D9E">
        <w:rPr>
          <w:rFonts w:ascii="TheSans UHH" w:hAnsi="TheSans UHH"/>
        </w:rPr>
        <w:t>, Universität Hamburg</w:t>
      </w:r>
    </w:p>
    <w:p w:rsidR="00BC7905" w:rsidRPr="00022D9E" w:rsidRDefault="00022D9E" w:rsidP="0004588E">
      <w:pPr>
        <w:jc w:val="both"/>
        <w:rPr>
          <w:rFonts w:ascii="TheSans UHH" w:hAnsi="TheSans UHH"/>
        </w:rPr>
      </w:pPr>
      <w:r>
        <w:rPr>
          <w:rFonts w:ascii="TheSans UHH" w:hAnsi="TheSans UHH"/>
        </w:rPr>
        <w:t xml:space="preserve">Wolfgang Schulze-Allen, </w:t>
      </w:r>
      <w:r w:rsidR="003351EF">
        <w:rPr>
          <w:rFonts w:ascii="TheSans UHH" w:hAnsi="TheSans UHH"/>
        </w:rPr>
        <w:t xml:space="preserve">Rechtsanwalt, </w:t>
      </w:r>
      <w:r w:rsidR="00BC7905" w:rsidRPr="00022D9E">
        <w:rPr>
          <w:rFonts w:ascii="TheSans UHH" w:hAnsi="TheSans UHH"/>
        </w:rPr>
        <w:t>Kanzlei für Arbeitsrecht, Dortmund</w:t>
      </w:r>
    </w:p>
    <w:p w:rsidR="00BC7905" w:rsidRPr="00CE255F" w:rsidRDefault="008A6A9A" w:rsidP="0032310F">
      <w:pPr>
        <w:spacing w:after="100"/>
        <w:jc w:val="both"/>
        <w:rPr>
          <w:rFonts w:ascii="TheSans UHH" w:hAnsi="TheSans UHH"/>
          <w:b/>
          <w:sz w:val="24"/>
          <w:szCs w:val="24"/>
        </w:rPr>
      </w:pPr>
      <w:r w:rsidRPr="00CE255F">
        <w:rPr>
          <w:rFonts w:ascii="TheSans UHH" w:hAnsi="TheSans UHH"/>
          <w:b/>
          <w:sz w:val="24"/>
          <w:szCs w:val="24"/>
        </w:rPr>
        <w:t xml:space="preserve">Kurzbeschreibung </w:t>
      </w:r>
      <w:r w:rsidR="00022D9E" w:rsidRPr="00CE255F">
        <w:rPr>
          <w:rFonts w:ascii="TheSans UHH" w:hAnsi="TheSans UHH"/>
          <w:b/>
          <w:sz w:val="24"/>
          <w:szCs w:val="24"/>
        </w:rPr>
        <w:t>(Tagungsp</w:t>
      </w:r>
      <w:r w:rsidRPr="00CE255F">
        <w:rPr>
          <w:rFonts w:ascii="TheSans UHH" w:hAnsi="TheSans UHH"/>
          <w:b/>
          <w:sz w:val="24"/>
          <w:szCs w:val="24"/>
        </w:rPr>
        <w:t>rogramm</w:t>
      </w:r>
      <w:r w:rsidR="00022D9E" w:rsidRPr="00CE255F">
        <w:rPr>
          <w:rFonts w:ascii="TheSans UHH" w:hAnsi="TheSans UHH"/>
          <w:b/>
          <w:sz w:val="24"/>
          <w:szCs w:val="24"/>
        </w:rPr>
        <w:t>)</w:t>
      </w:r>
    </w:p>
    <w:p w:rsidR="00944F8F" w:rsidRPr="00022D9E" w:rsidRDefault="00B25581" w:rsidP="0004588E">
      <w:pPr>
        <w:jc w:val="both"/>
        <w:rPr>
          <w:rFonts w:ascii="TheSans UHH" w:hAnsi="TheSans UHH"/>
        </w:rPr>
      </w:pPr>
      <w:r w:rsidRPr="00022D9E">
        <w:rPr>
          <w:rFonts w:ascii="TheSans UHH" w:hAnsi="TheSans UHH"/>
        </w:rPr>
        <w:t xml:space="preserve">Viele Menschen, die sich einer </w:t>
      </w:r>
      <w:r w:rsidR="002025FD" w:rsidRPr="00022D9E">
        <w:rPr>
          <w:rFonts w:ascii="TheSans UHH" w:hAnsi="TheSans UHH"/>
        </w:rPr>
        <w:t xml:space="preserve">gängigen </w:t>
      </w:r>
      <w:proofErr w:type="spellStart"/>
      <w:r w:rsidRPr="00022D9E">
        <w:rPr>
          <w:rFonts w:ascii="TheSans UHH" w:hAnsi="TheSans UHH"/>
        </w:rPr>
        <w:t>Diversity</w:t>
      </w:r>
      <w:proofErr w:type="spellEnd"/>
      <w:r w:rsidRPr="00022D9E">
        <w:rPr>
          <w:rFonts w:ascii="TheSans UHH" w:hAnsi="TheSans UHH"/>
        </w:rPr>
        <w:t xml:space="preserve">-Kategorie </w:t>
      </w:r>
      <w:r w:rsidR="00765EE5" w:rsidRPr="00022D9E">
        <w:rPr>
          <w:rFonts w:ascii="TheSans UHH" w:hAnsi="TheSans UHH"/>
        </w:rPr>
        <w:t xml:space="preserve">(z. B. Beeinträchtigung) </w:t>
      </w:r>
      <w:r w:rsidRPr="00022D9E">
        <w:rPr>
          <w:rFonts w:ascii="TheSans UHH" w:hAnsi="TheSans UHH"/>
        </w:rPr>
        <w:t>zuordnen lassen, verbergen dies vor Anderen. Sie befürchten</w:t>
      </w:r>
      <w:r w:rsidR="002025FD" w:rsidRPr="00022D9E">
        <w:rPr>
          <w:rFonts w:ascii="TheSans UHH" w:hAnsi="TheSans UHH"/>
        </w:rPr>
        <w:t xml:space="preserve">, dass eine </w:t>
      </w:r>
      <w:r w:rsidRPr="00022D9E">
        <w:rPr>
          <w:rFonts w:ascii="TheSans UHH" w:hAnsi="TheSans UHH"/>
        </w:rPr>
        <w:t xml:space="preserve">Offenbarung </w:t>
      </w:r>
      <w:r w:rsidR="002025FD" w:rsidRPr="00022D9E">
        <w:rPr>
          <w:rFonts w:ascii="TheSans UHH" w:hAnsi="TheSans UHH"/>
        </w:rPr>
        <w:t>negative Folgen für Studium, Be</w:t>
      </w:r>
      <w:r w:rsidR="00FD3445">
        <w:rPr>
          <w:rFonts w:ascii="TheSans UHH" w:hAnsi="TheSans UHH"/>
        </w:rPr>
        <w:softHyphen/>
      </w:r>
      <w:r w:rsidR="002025FD" w:rsidRPr="00022D9E">
        <w:rPr>
          <w:rFonts w:ascii="TheSans UHH" w:hAnsi="TheSans UHH"/>
        </w:rPr>
        <w:t>ruf oder Privatleben haben kann. Im Workshop sollen Chancen und Risiken einer Offenbarung vor dem Hintergrund rechtlicher Regelungen und empirischer Befunde (aus dem Hochschulbereich) dis</w:t>
      </w:r>
      <w:r w:rsidR="00FD3445">
        <w:rPr>
          <w:rFonts w:ascii="TheSans UHH" w:hAnsi="TheSans UHH"/>
        </w:rPr>
        <w:softHyphen/>
      </w:r>
      <w:r w:rsidR="002025FD" w:rsidRPr="00022D9E">
        <w:rPr>
          <w:rFonts w:ascii="TheSans UHH" w:hAnsi="TheSans UHH"/>
        </w:rPr>
        <w:t>kutiert werden.</w:t>
      </w:r>
    </w:p>
    <w:p w:rsidR="00B76B56" w:rsidRPr="0032310F" w:rsidRDefault="00B76B56" w:rsidP="00FC3222">
      <w:pPr>
        <w:spacing w:after="100"/>
        <w:jc w:val="both"/>
        <w:rPr>
          <w:rFonts w:ascii="TheSans UHH" w:hAnsi="TheSans UHH"/>
          <w:b/>
          <w:sz w:val="24"/>
          <w:szCs w:val="24"/>
          <w:u w:val="single"/>
        </w:rPr>
      </w:pPr>
      <w:r w:rsidRPr="0032310F">
        <w:rPr>
          <w:rFonts w:ascii="TheSans UHH" w:hAnsi="TheSans UHH"/>
          <w:b/>
          <w:sz w:val="24"/>
          <w:szCs w:val="24"/>
          <w:u w:val="single"/>
        </w:rPr>
        <w:t>Ablaufplan</w:t>
      </w:r>
    </w:p>
    <w:p w:rsidR="008A6A9A" w:rsidRDefault="000F6414" w:rsidP="00C22DA4">
      <w:pPr>
        <w:jc w:val="both"/>
        <w:rPr>
          <w:rFonts w:ascii="TheSans UHH" w:hAnsi="TheSans UHH"/>
          <w:b/>
        </w:rPr>
      </w:pPr>
      <w:r>
        <w:rPr>
          <w:rFonts w:ascii="TheSans UHH" w:hAnsi="TheSans UHH"/>
          <w:b/>
        </w:rPr>
        <w:t>1.</w:t>
      </w:r>
      <w:r>
        <w:rPr>
          <w:rFonts w:ascii="TheSans UHH" w:hAnsi="TheSans UHH"/>
          <w:b/>
        </w:rPr>
        <w:tab/>
      </w:r>
      <w:r w:rsidR="008A6A9A" w:rsidRPr="000F6414">
        <w:rPr>
          <w:rFonts w:ascii="TheSans UHH" w:hAnsi="TheSans UHH"/>
          <w:b/>
        </w:rPr>
        <w:t>Vorstellung</w:t>
      </w:r>
      <w:r w:rsidR="003351EF">
        <w:rPr>
          <w:rFonts w:ascii="TheSans UHH" w:hAnsi="TheSans UHH"/>
          <w:b/>
        </w:rPr>
        <w:t xml:space="preserve"> der Referierenden</w:t>
      </w:r>
      <w:r w:rsidR="000515B4" w:rsidRPr="000F6414">
        <w:rPr>
          <w:rFonts w:ascii="TheSans UHH" w:hAnsi="TheSans UHH"/>
          <w:b/>
        </w:rPr>
        <w:t xml:space="preserve"> und der Teilnehmenden</w:t>
      </w:r>
    </w:p>
    <w:p w:rsidR="008A6A9A" w:rsidRPr="0032310F" w:rsidRDefault="000515B4" w:rsidP="0004588E">
      <w:pPr>
        <w:spacing w:after="100"/>
        <w:jc w:val="both"/>
        <w:rPr>
          <w:rFonts w:ascii="TheSans UHH" w:hAnsi="TheSans UHH"/>
          <w:b/>
        </w:rPr>
      </w:pPr>
      <w:r w:rsidRPr="0032310F">
        <w:rPr>
          <w:rFonts w:ascii="TheSans UHH" w:hAnsi="TheSans UHH"/>
          <w:b/>
        </w:rPr>
        <w:t>2.</w:t>
      </w:r>
      <w:r w:rsidRPr="0032310F">
        <w:rPr>
          <w:rFonts w:ascii="TheSans UHH" w:hAnsi="TheSans UHH"/>
          <w:b/>
        </w:rPr>
        <w:tab/>
      </w:r>
      <w:r w:rsidR="000367F2">
        <w:rPr>
          <w:rFonts w:ascii="TheSans UHH" w:hAnsi="TheSans UHH"/>
          <w:b/>
        </w:rPr>
        <w:t>V</w:t>
      </w:r>
      <w:r w:rsidRPr="0032310F">
        <w:rPr>
          <w:rFonts w:ascii="TheSans UHH" w:hAnsi="TheSans UHH"/>
          <w:b/>
        </w:rPr>
        <w:t>erb</w:t>
      </w:r>
      <w:r w:rsidR="000367F2">
        <w:rPr>
          <w:rFonts w:ascii="TheSans UHH" w:hAnsi="TheSans UHH"/>
          <w:b/>
        </w:rPr>
        <w:t>o</w:t>
      </w:r>
      <w:r w:rsidRPr="0032310F">
        <w:rPr>
          <w:rFonts w:ascii="TheSans UHH" w:hAnsi="TheSans UHH"/>
          <w:b/>
        </w:rPr>
        <w:t>rgen</w:t>
      </w:r>
      <w:r w:rsidR="000367F2">
        <w:rPr>
          <w:rFonts w:ascii="TheSans UHH" w:hAnsi="TheSans UHH"/>
          <w:b/>
        </w:rPr>
        <w:t xml:space="preserve"> oder </w:t>
      </w:r>
      <w:r w:rsidRPr="0032310F">
        <w:rPr>
          <w:rFonts w:ascii="TheSans UHH" w:hAnsi="TheSans UHH"/>
          <w:b/>
        </w:rPr>
        <w:t>enthüllt?</w:t>
      </w:r>
    </w:p>
    <w:p w:rsidR="00B76B56" w:rsidRPr="000515B4" w:rsidRDefault="008A6A9A" w:rsidP="0004588E">
      <w:pPr>
        <w:pStyle w:val="Listenabsatz"/>
        <w:numPr>
          <w:ilvl w:val="0"/>
          <w:numId w:val="1"/>
        </w:numPr>
        <w:spacing w:after="0"/>
        <w:ind w:left="908" w:hanging="454"/>
        <w:jc w:val="both"/>
        <w:rPr>
          <w:rFonts w:ascii="TheSans UHH" w:hAnsi="TheSans UHH"/>
        </w:rPr>
      </w:pPr>
      <w:r w:rsidRPr="000515B4">
        <w:rPr>
          <w:rFonts w:ascii="TheSans UHH" w:hAnsi="TheSans UHH"/>
        </w:rPr>
        <w:t>Überblick über Kategorien von Diversität</w:t>
      </w:r>
      <w:r w:rsidR="000515B4">
        <w:rPr>
          <w:rFonts w:ascii="TheSans UHH" w:hAnsi="TheSans UHH"/>
        </w:rPr>
        <w:t xml:space="preserve"> (</w:t>
      </w:r>
      <w:r w:rsidR="00C22DA4">
        <w:rPr>
          <w:rFonts w:ascii="TheSans UHH" w:hAnsi="TheSans UHH"/>
        </w:rPr>
        <w:t>Kurzvortrag)</w:t>
      </w:r>
    </w:p>
    <w:p w:rsidR="000F6414" w:rsidRDefault="000F6414" w:rsidP="0004588E">
      <w:pPr>
        <w:pStyle w:val="Listenabsatz"/>
        <w:numPr>
          <w:ilvl w:val="0"/>
          <w:numId w:val="1"/>
        </w:numPr>
        <w:spacing w:after="0"/>
        <w:ind w:left="908" w:hanging="454"/>
        <w:jc w:val="both"/>
        <w:rPr>
          <w:rFonts w:ascii="TheSans UHH" w:hAnsi="TheSans UHH"/>
        </w:rPr>
      </w:pPr>
      <w:r>
        <w:rPr>
          <w:rFonts w:ascii="TheSans UHH" w:hAnsi="TheSans UHH"/>
        </w:rPr>
        <w:t xml:space="preserve">Handout </w:t>
      </w:r>
      <w:r w:rsidR="008A6A9A" w:rsidRPr="000F6414">
        <w:rPr>
          <w:rFonts w:ascii="TheSans UHH" w:hAnsi="TheSans UHH"/>
        </w:rPr>
        <w:t>„Eisberg-Modell“</w:t>
      </w:r>
    </w:p>
    <w:p w:rsidR="008A6A9A" w:rsidRPr="000F6414" w:rsidRDefault="000F6414" w:rsidP="000F6414">
      <w:pPr>
        <w:spacing w:after="0"/>
        <w:ind w:left="454" w:firstLine="454"/>
        <w:jc w:val="both"/>
        <w:rPr>
          <w:rFonts w:ascii="TheSans UHH" w:hAnsi="TheSans UHH"/>
        </w:rPr>
      </w:pPr>
      <w:r w:rsidRPr="000F6414">
        <w:rPr>
          <w:rFonts w:ascii="TheSans UHH" w:hAnsi="TheSans UHH"/>
        </w:rPr>
        <w:t xml:space="preserve">Aufgabe: </w:t>
      </w:r>
      <w:r w:rsidR="000367F2" w:rsidRPr="000F6414">
        <w:rPr>
          <w:rFonts w:ascii="TheSans UHH" w:hAnsi="TheSans UHH"/>
        </w:rPr>
        <w:t xml:space="preserve">Entscheiden </w:t>
      </w:r>
      <w:r w:rsidRPr="000F6414">
        <w:rPr>
          <w:rFonts w:ascii="TheSans UHH" w:hAnsi="TheSans UHH"/>
        </w:rPr>
        <w:t>S</w:t>
      </w:r>
      <w:r w:rsidR="000367F2" w:rsidRPr="000F6414">
        <w:rPr>
          <w:rFonts w:ascii="TheSans UHH" w:hAnsi="TheSans UHH"/>
        </w:rPr>
        <w:t>ie für sich</w:t>
      </w:r>
      <w:r w:rsidRPr="000F6414">
        <w:rPr>
          <w:rFonts w:ascii="TheSans UHH" w:hAnsi="TheSans UHH"/>
        </w:rPr>
        <w:t>,</w:t>
      </w:r>
      <w:r w:rsidR="000367F2" w:rsidRPr="000F6414">
        <w:rPr>
          <w:rFonts w:ascii="TheSans UHH" w:hAnsi="TheSans UHH"/>
        </w:rPr>
        <w:t xml:space="preserve"> </w:t>
      </w:r>
      <w:r w:rsidRPr="000F6414">
        <w:rPr>
          <w:rFonts w:ascii="TheSans UHH" w:hAnsi="TheSans UHH"/>
        </w:rPr>
        <w:t>w</w:t>
      </w:r>
      <w:r w:rsidR="008A6A9A" w:rsidRPr="000F6414">
        <w:rPr>
          <w:rFonts w:ascii="TheSans UHH" w:hAnsi="TheSans UHH"/>
        </w:rPr>
        <w:t xml:space="preserve">elche Kategorien von Diversität </w:t>
      </w:r>
      <w:r w:rsidR="000367F2" w:rsidRPr="000F6414">
        <w:rPr>
          <w:rFonts w:ascii="TheSans UHH" w:hAnsi="TheSans UHH"/>
        </w:rPr>
        <w:t>sichtbar</w:t>
      </w:r>
      <w:r w:rsidRPr="000F6414">
        <w:rPr>
          <w:rFonts w:ascii="TheSans UHH" w:hAnsi="TheSans UHH"/>
        </w:rPr>
        <w:t xml:space="preserve"> sind?</w:t>
      </w:r>
    </w:p>
    <w:p w:rsidR="008A6A9A" w:rsidRPr="000515B4" w:rsidRDefault="000367F2" w:rsidP="0004588E">
      <w:pPr>
        <w:pStyle w:val="Listenabsatz"/>
        <w:numPr>
          <w:ilvl w:val="0"/>
          <w:numId w:val="1"/>
        </w:numPr>
        <w:ind w:left="908" w:hanging="454"/>
        <w:jc w:val="both"/>
        <w:rPr>
          <w:rFonts w:ascii="TheSans UHH" w:hAnsi="TheSans UHH"/>
        </w:rPr>
      </w:pPr>
      <w:r>
        <w:rPr>
          <w:rFonts w:ascii="TheSans UHH" w:hAnsi="TheSans UHH"/>
        </w:rPr>
        <w:t>Reflektion und Ausrausch</w:t>
      </w:r>
    </w:p>
    <w:p w:rsidR="00B76B56" w:rsidRDefault="000515B4" w:rsidP="001D3E61">
      <w:pPr>
        <w:spacing w:after="0"/>
        <w:ind w:left="454" w:hanging="454"/>
        <w:jc w:val="both"/>
        <w:rPr>
          <w:rFonts w:ascii="TheSans UHH" w:hAnsi="TheSans UHH"/>
          <w:b/>
        </w:rPr>
      </w:pPr>
      <w:r w:rsidRPr="0032310F">
        <w:rPr>
          <w:rFonts w:ascii="TheSans UHH" w:hAnsi="TheSans UHH"/>
          <w:b/>
        </w:rPr>
        <w:t>3.</w:t>
      </w:r>
      <w:r w:rsidRPr="0032310F">
        <w:rPr>
          <w:rFonts w:ascii="TheSans UHH" w:hAnsi="TheSans UHH"/>
          <w:b/>
        </w:rPr>
        <w:tab/>
      </w:r>
      <w:r w:rsidR="0032310F">
        <w:rPr>
          <w:rFonts w:ascii="TheSans UHH" w:hAnsi="TheSans UHH"/>
          <w:b/>
        </w:rPr>
        <w:t>Verbergen oder enthüllen –</w:t>
      </w:r>
      <w:r w:rsidR="00B76B56" w:rsidRPr="0032310F">
        <w:rPr>
          <w:rFonts w:ascii="TheSans UHH" w:hAnsi="TheSans UHH"/>
          <w:b/>
        </w:rPr>
        <w:t xml:space="preserve"> </w:t>
      </w:r>
      <w:r w:rsidR="0032310F">
        <w:rPr>
          <w:rFonts w:ascii="TheSans UHH" w:hAnsi="TheSans UHH"/>
          <w:b/>
        </w:rPr>
        <w:t xml:space="preserve">Was </w:t>
      </w:r>
      <w:proofErr w:type="gramStart"/>
      <w:r w:rsidR="0032310F">
        <w:rPr>
          <w:rFonts w:ascii="TheSans UHH" w:hAnsi="TheSans UHH"/>
          <w:b/>
        </w:rPr>
        <w:t xml:space="preserve">meinen </w:t>
      </w:r>
      <w:r w:rsidR="000367F2">
        <w:rPr>
          <w:rFonts w:ascii="TheSans UHH" w:hAnsi="TheSans UHH"/>
          <w:b/>
        </w:rPr>
        <w:t>S</w:t>
      </w:r>
      <w:r w:rsidR="0032310F">
        <w:rPr>
          <w:rFonts w:ascii="TheSans UHH" w:hAnsi="TheSans UHH"/>
          <w:b/>
        </w:rPr>
        <w:t>tudierende</w:t>
      </w:r>
      <w:proofErr w:type="gramEnd"/>
      <w:r w:rsidR="0032310F">
        <w:rPr>
          <w:rFonts w:ascii="TheSans UHH" w:hAnsi="TheSans UHH"/>
          <w:b/>
        </w:rPr>
        <w:t>?</w:t>
      </w:r>
      <w:r w:rsidR="00C22DA4">
        <w:rPr>
          <w:rFonts w:ascii="TheSans UHH" w:hAnsi="TheSans UHH"/>
          <w:b/>
        </w:rPr>
        <w:t xml:space="preserve"> (Kurzvortrag)</w:t>
      </w:r>
      <w:r w:rsidR="00B43450">
        <w:rPr>
          <w:rFonts w:ascii="TheSans UHH" w:hAnsi="TheSans UHH"/>
          <w:b/>
        </w:rPr>
        <w:t xml:space="preserve"> </w:t>
      </w:r>
      <w:r w:rsidR="00B43450" w:rsidRPr="00B43450">
        <w:rPr>
          <w:rFonts w:ascii="TheSans UHH" w:hAnsi="TheSans UHH"/>
          <w:b/>
          <w:u w:val="single"/>
        </w:rPr>
        <w:t>Optional</w:t>
      </w:r>
    </w:p>
    <w:p w:rsidR="001D3E61" w:rsidRPr="001D3E61" w:rsidRDefault="00636864" w:rsidP="001D3E61">
      <w:pPr>
        <w:spacing w:after="100"/>
        <w:ind w:left="908" w:hanging="454"/>
        <w:jc w:val="both"/>
        <w:rPr>
          <w:rFonts w:ascii="TheSans UHH" w:hAnsi="TheSans UHH"/>
          <w:b/>
          <w:sz w:val="20"/>
          <w:szCs w:val="20"/>
        </w:rPr>
      </w:pPr>
      <w:r>
        <w:rPr>
          <w:rFonts w:ascii="TheSans UHH" w:hAnsi="TheSans UHH"/>
          <w:b/>
          <w:sz w:val="20"/>
          <w:szCs w:val="20"/>
        </w:rPr>
        <w:t>Fokus ‚beeinträchtigt studieren</w:t>
      </w:r>
      <w:r w:rsidR="001D3E61" w:rsidRPr="001D3E61">
        <w:rPr>
          <w:rFonts w:ascii="TheSans UHH" w:hAnsi="TheSans UHH"/>
          <w:b/>
          <w:sz w:val="20"/>
          <w:szCs w:val="20"/>
        </w:rPr>
        <w:t>‘</w:t>
      </w:r>
    </w:p>
    <w:p w:rsidR="000515B4" w:rsidRPr="000515B4" w:rsidRDefault="00636864" w:rsidP="0004588E">
      <w:pPr>
        <w:pStyle w:val="Listenabsatz"/>
        <w:numPr>
          <w:ilvl w:val="0"/>
          <w:numId w:val="1"/>
        </w:numPr>
        <w:ind w:left="908" w:hanging="454"/>
        <w:jc w:val="both"/>
        <w:rPr>
          <w:rFonts w:ascii="TheSans UHH" w:hAnsi="TheSans UHH"/>
        </w:rPr>
      </w:pPr>
      <w:r>
        <w:rPr>
          <w:rFonts w:ascii="TheSans UHH" w:hAnsi="TheSans UHH"/>
        </w:rPr>
        <w:t>Diskussion ausgewählter Ergebnisse der Datenerhebung</w:t>
      </w:r>
      <w:r w:rsidR="000F6414">
        <w:rPr>
          <w:rFonts w:ascii="TheSans UHH" w:hAnsi="TheSans UHH"/>
        </w:rPr>
        <w:t xml:space="preserve"> ‚beeinträchtigt studieren‘</w:t>
      </w:r>
    </w:p>
    <w:p w:rsidR="000515B4" w:rsidRPr="001968D8" w:rsidRDefault="000515B4" w:rsidP="00C22DA4">
      <w:pPr>
        <w:jc w:val="both"/>
        <w:rPr>
          <w:rFonts w:ascii="TheSans UHH" w:hAnsi="TheSans UHH"/>
          <w:b/>
        </w:rPr>
      </w:pPr>
      <w:r w:rsidRPr="0032310F">
        <w:rPr>
          <w:rFonts w:ascii="TheSans UHH" w:hAnsi="TheSans UHH"/>
          <w:b/>
        </w:rPr>
        <w:t>4.</w:t>
      </w:r>
      <w:r w:rsidRPr="0032310F">
        <w:rPr>
          <w:rFonts w:ascii="TheSans UHH" w:hAnsi="TheSans UHH"/>
          <w:b/>
        </w:rPr>
        <w:tab/>
      </w:r>
      <w:r w:rsidR="00B76B56" w:rsidRPr="0032310F">
        <w:rPr>
          <w:rFonts w:ascii="TheSans UHH" w:hAnsi="TheSans UHH"/>
          <w:b/>
        </w:rPr>
        <w:t>Was darf verborgen, was muss enthüllt werden? Überblick</w:t>
      </w:r>
      <w:r w:rsidRPr="0032310F">
        <w:rPr>
          <w:rFonts w:ascii="TheSans UHH" w:hAnsi="TheSans UHH"/>
          <w:b/>
        </w:rPr>
        <w:t xml:space="preserve"> </w:t>
      </w:r>
      <w:r w:rsidR="00446991">
        <w:rPr>
          <w:rFonts w:ascii="TheSans UHH" w:hAnsi="TheSans UHH"/>
          <w:b/>
        </w:rPr>
        <w:t>über die Rechtslage</w:t>
      </w:r>
      <w:r w:rsidR="00C22DA4">
        <w:rPr>
          <w:rFonts w:ascii="TheSans UHH" w:hAnsi="TheSans UHH"/>
          <w:b/>
        </w:rPr>
        <w:t xml:space="preserve"> (Kurzvortrag)</w:t>
      </w:r>
    </w:p>
    <w:p w:rsidR="00CE255F" w:rsidRPr="000F6414" w:rsidRDefault="00CE255F" w:rsidP="000F6414">
      <w:pPr>
        <w:spacing w:after="100"/>
        <w:jc w:val="both"/>
        <w:rPr>
          <w:rFonts w:ascii="TheSans UHH" w:hAnsi="TheSans UHH"/>
          <w:b/>
        </w:rPr>
      </w:pPr>
      <w:r w:rsidRPr="000F6414">
        <w:rPr>
          <w:rFonts w:ascii="TheSans UHH" w:hAnsi="TheSans UHH"/>
          <w:b/>
        </w:rPr>
        <w:t>5.</w:t>
      </w:r>
      <w:r w:rsidRPr="000F6414">
        <w:rPr>
          <w:rFonts w:ascii="TheSans UHH" w:hAnsi="TheSans UHH"/>
          <w:b/>
        </w:rPr>
        <w:tab/>
      </w:r>
      <w:r w:rsidR="00702F88" w:rsidRPr="000F6414">
        <w:rPr>
          <w:rFonts w:ascii="TheSans UHH" w:hAnsi="TheSans UHH"/>
          <w:b/>
        </w:rPr>
        <w:t>Offenbarung - Belastung oder Entlastung</w:t>
      </w:r>
      <w:r w:rsidR="000F6414" w:rsidRPr="000F6414">
        <w:rPr>
          <w:rFonts w:ascii="TheSans UHH" w:hAnsi="TheSans UHH"/>
          <w:b/>
        </w:rPr>
        <w:t>?</w:t>
      </w:r>
    </w:p>
    <w:p w:rsidR="000F6414" w:rsidRDefault="000F6414" w:rsidP="0004588E">
      <w:pPr>
        <w:pStyle w:val="Listenabsatz"/>
        <w:numPr>
          <w:ilvl w:val="0"/>
          <w:numId w:val="1"/>
        </w:numPr>
        <w:spacing w:after="0"/>
        <w:ind w:left="908" w:hanging="454"/>
        <w:jc w:val="both"/>
        <w:rPr>
          <w:rFonts w:ascii="TheSans UHH" w:hAnsi="TheSans UHH"/>
        </w:rPr>
      </w:pPr>
      <w:r>
        <w:rPr>
          <w:rFonts w:ascii="TheSans UHH" w:hAnsi="TheSans UHH"/>
        </w:rPr>
        <w:t>Stigmatisierung</w:t>
      </w:r>
      <w:r w:rsidR="00E83939">
        <w:rPr>
          <w:rFonts w:ascii="TheSans UHH" w:hAnsi="TheSans UHH"/>
        </w:rPr>
        <w:t xml:space="preserve"> und</w:t>
      </w:r>
      <w:r>
        <w:rPr>
          <w:rFonts w:ascii="TheSans UHH" w:hAnsi="TheSans UHH"/>
        </w:rPr>
        <w:t xml:space="preserve"> Diskriminierung: Individuelle Bewältigungsstrategien (</w:t>
      </w:r>
      <w:r w:rsidR="00C22DA4">
        <w:rPr>
          <w:rFonts w:ascii="TheSans UHH" w:hAnsi="TheSans UHH"/>
        </w:rPr>
        <w:t>Kurzvortrag</w:t>
      </w:r>
      <w:r>
        <w:rPr>
          <w:rFonts w:ascii="TheSans UHH" w:hAnsi="TheSans UHH"/>
        </w:rPr>
        <w:t>)</w:t>
      </w:r>
    </w:p>
    <w:p w:rsidR="0076707E" w:rsidRDefault="000F6414" w:rsidP="00C22DA4">
      <w:pPr>
        <w:pStyle w:val="Listenabsatz"/>
        <w:numPr>
          <w:ilvl w:val="0"/>
          <w:numId w:val="1"/>
        </w:numPr>
        <w:ind w:left="908" w:hanging="454"/>
        <w:jc w:val="both"/>
        <w:rPr>
          <w:rFonts w:ascii="TheSans UHH" w:hAnsi="TheSans UHH"/>
        </w:rPr>
      </w:pPr>
      <w:r w:rsidRPr="000F6414">
        <w:rPr>
          <w:rFonts w:ascii="TheSans UHH" w:hAnsi="TheSans UHH"/>
        </w:rPr>
        <w:t>Aufgabe:</w:t>
      </w:r>
      <w:r>
        <w:rPr>
          <w:rFonts w:ascii="TheSans UHH" w:hAnsi="TheSans UHH"/>
        </w:rPr>
        <w:t xml:space="preserve"> </w:t>
      </w:r>
      <w:r w:rsidR="0076707E" w:rsidRPr="000F6414">
        <w:rPr>
          <w:rFonts w:ascii="TheSans UHH" w:hAnsi="TheSans UHH"/>
        </w:rPr>
        <w:t xml:space="preserve">Wie </w:t>
      </w:r>
      <w:r>
        <w:rPr>
          <w:rFonts w:ascii="TheSans UHH" w:hAnsi="TheSans UHH"/>
        </w:rPr>
        <w:t>gehe ich</w:t>
      </w:r>
      <w:r w:rsidR="0076707E" w:rsidRPr="000F6414">
        <w:rPr>
          <w:rFonts w:ascii="TheSans UHH" w:hAnsi="TheSans UHH"/>
        </w:rPr>
        <w:t xml:space="preserve"> mit </w:t>
      </w:r>
      <w:r w:rsidRPr="000F6414">
        <w:rPr>
          <w:rFonts w:ascii="TheSans UHH" w:hAnsi="TheSans UHH"/>
        </w:rPr>
        <w:t>O</w:t>
      </w:r>
      <w:r w:rsidR="0076707E" w:rsidRPr="000F6414">
        <w:rPr>
          <w:rFonts w:ascii="TheSans UHH" w:hAnsi="TheSans UHH"/>
        </w:rPr>
        <w:t>ffenbarungen um?</w:t>
      </w:r>
    </w:p>
    <w:p w:rsidR="00687080" w:rsidRPr="00F655C7" w:rsidRDefault="00F655C7" w:rsidP="00F655C7">
      <w:pPr>
        <w:spacing w:after="0"/>
        <w:jc w:val="both"/>
        <w:rPr>
          <w:rFonts w:ascii="TheSans UHH" w:hAnsi="TheSans UHH"/>
          <w:b/>
        </w:rPr>
      </w:pPr>
      <w:r w:rsidRPr="00F655C7">
        <w:rPr>
          <w:rFonts w:ascii="TheSans UHH" w:hAnsi="TheSans UHH"/>
          <w:b/>
        </w:rPr>
        <w:t>6.</w:t>
      </w:r>
      <w:r w:rsidRPr="00F655C7">
        <w:rPr>
          <w:rFonts w:ascii="TheSans UHH" w:hAnsi="TheSans UHH"/>
          <w:b/>
        </w:rPr>
        <w:tab/>
        <w:t>Fazit</w:t>
      </w:r>
    </w:p>
    <w:p w:rsidR="0004588E" w:rsidRDefault="0004588E" w:rsidP="0004588E">
      <w:pPr>
        <w:rPr>
          <w:rFonts w:ascii="TheSans UHH" w:hAnsi="TheSans UHH"/>
          <w:b/>
          <w:sz w:val="28"/>
          <w:szCs w:val="28"/>
          <w:u w:val="single"/>
        </w:rPr>
      </w:pPr>
      <w:r>
        <w:rPr>
          <w:rFonts w:ascii="TheSans UHH" w:hAnsi="TheSans UHH"/>
          <w:b/>
          <w:sz w:val="28"/>
          <w:szCs w:val="28"/>
          <w:u w:val="single"/>
        </w:rPr>
        <w:br w:type="page"/>
      </w:r>
    </w:p>
    <w:p w:rsidR="00050239" w:rsidRPr="00B65F8B" w:rsidRDefault="00050239" w:rsidP="00E83939">
      <w:pPr>
        <w:jc w:val="both"/>
        <w:rPr>
          <w:rFonts w:ascii="TheSans UHH" w:hAnsi="TheSans UHH"/>
          <w:b/>
          <w:sz w:val="24"/>
          <w:szCs w:val="24"/>
          <w:u w:val="single"/>
        </w:rPr>
      </w:pPr>
      <w:r w:rsidRPr="00B65F8B">
        <w:rPr>
          <w:rFonts w:ascii="TheSans UHH" w:hAnsi="TheSans UHH"/>
          <w:b/>
          <w:sz w:val="24"/>
          <w:szCs w:val="24"/>
          <w:u w:val="single"/>
        </w:rPr>
        <w:lastRenderedPageBreak/>
        <w:t>Literatur</w:t>
      </w:r>
      <w:r w:rsidR="007D536D" w:rsidRPr="00B65F8B">
        <w:rPr>
          <w:rFonts w:ascii="TheSans UHH" w:hAnsi="TheSans UHH"/>
          <w:b/>
          <w:sz w:val="24"/>
          <w:szCs w:val="24"/>
          <w:u w:val="single"/>
        </w:rPr>
        <w:t>empfehlungen</w:t>
      </w:r>
    </w:p>
    <w:p w:rsidR="00050239" w:rsidRDefault="00B222DD" w:rsidP="00E83939">
      <w:pPr>
        <w:jc w:val="both"/>
        <w:rPr>
          <w:rFonts w:ascii="TheSans UHH" w:hAnsi="TheSans UHH"/>
        </w:rPr>
      </w:pPr>
      <w:r>
        <w:rPr>
          <w:rFonts w:ascii="TheSans UHH" w:hAnsi="TheSans UHH"/>
          <w:b/>
        </w:rPr>
        <w:t xml:space="preserve">Däubler, W.; </w:t>
      </w:r>
      <w:proofErr w:type="spellStart"/>
      <w:r>
        <w:rPr>
          <w:rFonts w:ascii="TheSans UHH" w:hAnsi="TheSans UHH"/>
          <w:b/>
        </w:rPr>
        <w:t>Bertzbach</w:t>
      </w:r>
      <w:proofErr w:type="spellEnd"/>
      <w:r>
        <w:rPr>
          <w:rFonts w:ascii="TheSans UHH" w:hAnsi="TheSans UHH"/>
          <w:b/>
        </w:rPr>
        <w:t>, M. (Hrsg.)</w:t>
      </w:r>
      <w:r w:rsidR="006A3F83" w:rsidRPr="007D536D">
        <w:rPr>
          <w:rFonts w:ascii="TheSans UHH" w:hAnsi="TheSans UHH"/>
          <w:b/>
        </w:rPr>
        <w:t>:</w:t>
      </w:r>
      <w:r w:rsidR="006A3F83">
        <w:rPr>
          <w:rFonts w:ascii="TheSans UHH" w:hAnsi="TheSans UHH"/>
        </w:rPr>
        <w:t xml:space="preserve"> Allg</w:t>
      </w:r>
      <w:r w:rsidR="007D536D">
        <w:rPr>
          <w:rFonts w:ascii="TheSans UHH" w:hAnsi="TheSans UHH"/>
        </w:rPr>
        <w:t>e</w:t>
      </w:r>
      <w:r w:rsidR="006A3F83">
        <w:rPr>
          <w:rFonts w:ascii="TheSans UHH" w:hAnsi="TheSans UHH"/>
        </w:rPr>
        <w:t>meines Gleichbehandlungsgesetz</w:t>
      </w:r>
      <w:r w:rsidR="007D536D">
        <w:rPr>
          <w:rFonts w:ascii="TheSans UHH" w:hAnsi="TheSans UHH"/>
        </w:rPr>
        <w:t xml:space="preserve"> – </w:t>
      </w:r>
      <w:r>
        <w:rPr>
          <w:rFonts w:ascii="TheSans UHH" w:hAnsi="TheSans UHH"/>
        </w:rPr>
        <w:t>Handk</w:t>
      </w:r>
      <w:r w:rsidR="007D536D">
        <w:rPr>
          <w:rFonts w:ascii="TheSans UHH" w:hAnsi="TheSans UHH"/>
        </w:rPr>
        <w:t xml:space="preserve">ommentar, 3. Aufl., </w:t>
      </w:r>
      <w:r>
        <w:rPr>
          <w:rFonts w:ascii="TheSans UHH" w:hAnsi="TheSans UHH"/>
        </w:rPr>
        <w:t>Baden-Baden</w:t>
      </w:r>
      <w:r w:rsidR="007D536D">
        <w:rPr>
          <w:rFonts w:ascii="TheSans UHH" w:hAnsi="TheSans UHH"/>
        </w:rPr>
        <w:t xml:space="preserve"> 201</w:t>
      </w:r>
      <w:r>
        <w:rPr>
          <w:rFonts w:ascii="TheSans UHH" w:hAnsi="TheSans UHH"/>
        </w:rPr>
        <w:t>3</w:t>
      </w:r>
      <w:r w:rsidR="007D536D">
        <w:rPr>
          <w:rFonts w:ascii="TheSans UHH" w:hAnsi="TheSans UHH"/>
        </w:rPr>
        <w:t>.</w:t>
      </w:r>
    </w:p>
    <w:p w:rsidR="00F22D4A" w:rsidRPr="00E83939" w:rsidRDefault="00E83939" w:rsidP="00E83939">
      <w:pPr>
        <w:jc w:val="both"/>
        <w:rPr>
          <w:rFonts w:ascii="TheSans UHH" w:hAnsi="TheSans UHH"/>
        </w:rPr>
      </w:pPr>
      <w:r>
        <w:rPr>
          <w:rFonts w:ascii="TheSans UHH" w:hAnsi="TheSans UHH"/>
          <w:b/>
        </w:rPr>
        <w:t>Deutsches Studentenwerk (Hrsg</w:t>
      </w:r>
      <w:r w:rsidRPr="00E83939">
        <w:rPr>
          <w:rFonts w:ascii="TheSans UHH" w:hAnsi="TheSans UHH"/>
          <w:b/>
        </w:rPr>
        <w:t>.):</w:t>
      </w:r>
      <w:r w:rsidRPr="00E83939">
        <w:rPr>
          <w:rFonts w:eastAsiaTheme="minorEastAsia" w:hAnsi="Calibri"/>
          <w:bCs/>
          <w:color w:val="595959" w:themeColor="text1" w:themeTint="A6"/>
          <w:sz w:val="28"/>
          <w:szCs w:val="28"/>
          <w:lang w:eastAsia="de-DE"/>
        </w:rPr>
        <w:t xml:space="preserve"> </w:t>
      </w:r>
      <w:r w:rsidRPr="00E83939">
        <w:rPr>
          <w:rFonts w:ascii="TheSans UHH" w:hAnsi="TheSans UHH"/>
        </w:rPr>
        <w:t>beeinträchtigt studieren - Datenerhebung zur Situation Studierender mit Behinderung und chronischer Krankheit 2011, durchgeführt vom Institut für Höhere Studien (IH</w:t>
      </w:r>
      <w:r>
        <w:rPr>
          <w:rFonts w:ascii="TheSans UHH" w:hAnsi="TheSans UHH"/>
        </w:rPr>
        <w:t>S) Wien, Ber</w:t>
      </w:r>
      <w:r w:rsidRPr="00E83939">
        <w:rPr>
          <w:rFonts w:ascii="TheSans UHH" w:hAnsi="TheSans UHH"/>
        </w:rPr>
        <w:t>lin 2012.</w:t>
      </w:r>
    </w:p>
    <w:p w:rsidR="00050239" w:rsidRDefault="006A3F83" w:rsidP="00E83939">
      <w:pPr>
        <w:jc w:val="both"/>
        <w:rPr>
          <w:rFonts w:ascii="TheSans UHH" w:hAnsi="TheSans UHH"/>
        </w:rPr>
      </w:pPr>
      <w:r w:rsidRPr="006A3F83">
        <w:rPr>
          <w:rFonts w:ascii="TheSans UHH" w:hAnsi="TheSans UHH"/>
          <w:b/>
        </w:rPr>
        <w:t xml:space="preserve">Hormel, U.; </w:t>
      </w:r>
      <w:proofErr w:type="spellStart"/>
      <w:r w:rsidRPr="006A3F83">
        <w:rPr>
          <w:rFonts w:ascii="TheSans UHH" w:hAnsi="TheSans UHH"/>
          <w:b/>
        </w:rPr>
        <w:t>Scherr</w:t>
      </w:r>
      <w:proofErr w:type="spellEnd"/>
      <w:r w:rsidRPr="006A3F83">
        <w:rPr>
          <w:rFonts w:ascii="TheSans UHH" w:hAnsi="TheSans UHH"/>
          <w:b/>
        </w:rPr>
        <w:t>, A. (Hrsg.):</w:t>
      </w:r>
      <w:r>
        <w:rPr>
          <w:rFonts w:ascii="TheSans UHH" w:hAnsi="TheSans UHH"/>
        </w:rPr>
        <w:t xml:space="preserve"> Diskriminierung –</w:t>
      </w:r>
      <w:r w:rsidR="007D536D">
        <w:rPr>
          <w:rFonts w:ascii="TheSans UHH" w:hAnsi="TheSans UHH"/>
        </w:rPr>
        <w:t xml:space="preserve"> G</w:t>
      </w:r>
      <w:r>
        <w:rPr>
          <w:rFonts w:ascii="TheSans UHH" w:hAnsi="TheSans UHH"/>
        </w:rPr>
        <w:t>rundlagen und Forschungsergebnisse, Wiesbaden 2010.</w:t>
      </w:r>
    </w:p>
    <w:p w:rsidR="00050239" w:rsidRDefault="00050239" w:rsidP="00E83939">
      <w:pPr>
        <w:jc w:val="both"/>
        <w:rPr>
          <w:rFonts w:ascii="TheSans UHH" w:hAnsi="TheSans UHH"/>
        </w:rPr>
      </w:pPr>
      <w:r w:rsidRPr="00050239">
        <w:rPr>
          <w:rFonts w:ascii="TheSans UHH" w:hAnsi="TheSans UHH"/>
          <w:b/>
        </w:rPr>
        <w:t xml:space="preserve">Klein, U.; </w:t>
      </w:r>
      <w:proofErr w:type="spellStart"/>
      <w:r w:rsidRPr="00050239">
        <w:rPr>
          <w:rFonts w:ascii="TheSans UHH" w:hAnsi="TheSans UHH"/>
          <w:b/>
        </w:rPr>
        <w:t>Rebitzer</w:t>
      </w:r>
      <w:proofErr w:type="spellEnd"/>
      <w:r w:rsidRPr="00050239">
        <w:rPr>
          <w:rFonts w:ascii="TheSans UHH" w:hAnsi="TheSans UHH"/>
          <w:b/>
        </w:rPr>
        <w:t>, F. A.:</w:t>
      </w:r>
      <w:r>
        <w:rPr>
          <w:rFonts w:ascii="TheSans UHH" w:hAnsi="TheSans UHH"/>
        </w:rPr>
        <w:t xml:space="preserve"> Diskriminierungserfahrungen von Studierenden: Ergebnisse einer Erhebung, in: </w:t>
      </w:r>
      <w:proofErr w:type="spellStart"/>
      <w:r>
        <w:rPr>
          <w:rFonts w:ascii="TheSans UHH" w:hAnsi="TheSans UHH"/>
        </w:rPr>
        <w:t>Diversity</w:t>
      </w:r>
      <w:proofErr w:type="spellEnd"/>
      <w:r>
        <w:rPr>
          <w:rFonts w:ascii="TheSans UHH" w:hAnsi="TheSans UHH"/>
        </w:rPr>
        <w:t xml:space="preserve"> konkret gemacht – Wege </w:t>
      </w:r>
      <w:r w:rsidR="003A2510">
        <w:rPr>
          <w:rFonts w:ascii="TheSans UHH" w:hAnsi="TheSans UHH"/>
        </w:rPr>
        <w:t>zur G</w:t>
      </w:r>
      <w:r>
        <w:rPr>
          <w:rFonts w:ascii="TheSans UHH" w:hAnsi="TheSans UHH"/>
        </w:rPr>
        <w:t xml:space="preserve">estaltung von Vielfalt an Hochschulen, hrsg. von D. </w:t>
      </w:r>
      <w:proofErr w:type="spellStart"/>
      <w:r>
        <w:rPr>
          <w:rFonts w:ascii="TheSans UHH" w:hAnsi="TheSans UHH"/>
        </w:rPr>
        <w:t>Heitzmann</w:t>
      </w:r>
      <w:proofErr w:type="spellEnd"/>
      <w:r>
        <w:rPr>
          <w:rFonts w:ascii="TheSans UHH" w:hAnsi="TheSans UHH"/>
        </w:rPr>
        <w:t xml:space="preserve"> und U. Klein, Weinheim/Basel 2012, S. 118-136.</w:t>
      </w:r>
    </w:p>
    <w:p w:rsidR="00050239" w:rsidRDefault="00476E2F" w:rsidP="00E83939">
      <w:pPr>
        <w:jc w:val="both"/>
        <w:rPr>
          <w:rFonts w:ascii="TheSans UHH" w:hAnsi="TheSans UHH"/>
        </w:rPr>
      </w:pPr>
      <w:r w:rsidRPr="00476E2F">
        <w:rPr>
          <w:rFonts w:ascii="TheSans UHH" w:hAnsi="TheSans UHH"/>
          <w:b/>
        </w:rPr>
        <w:t xml:space="preserve">Petersen, L.-E.; </w:t>
      </w:r>
      <w:proofErr w:type="spellStart"/>
      <w:r w:rsidRPr="00476E2F">
        <w:rPr>
          <w:rFonts w:ascii="TheSans UHH" w:hAnsi="TheSans UHH"/>
          <w:b/>
        </w:rPr>
        <w:t>Six</w:t>
      </w:r>
      <w:proofErr w:type="spellEnd"/>
      <w:r w:rsidRPr="00476E2F">
        <w:rPr>
          <w:rFonts w:ascii="TheSans UHH" w:hAnsi="TheSans UHH"/>
          <w:b/>
        </w:rPr>
        <w:t>, B. (Hrsg.):</w:t>
      </w:r>
      <w:r>
        <w:rPr>
          <w:rFonts w:ascii="TheSans UHH" w:hAnsi="TheSans UHH"/>
        </w:rPr>
        <w:t xml:space="preserve"> Stereotype, Vorurteile und soziale Diskriminierung – Theorien, Befunde und Interventionen, Weinheim/Basel 2008.</w:t>
      </w:r>
    </w:p>
    <w:p w:rsidR="00F655C7" w:rsidRDefault="00F655C7" w:rsidP="00E83939">
      <w:pPr>
        <w:jc w:val="both"/>
        <w:rPr>
          <w:rFonts w:ascii="TheSans UHH" w:hAnsi="TheSans UHH"/>
        </w:rPr>
      </w:pPr>
      <w:proofErr w:type="spellStart"/>
      <w:r>
        <w:rPr>
          <w:rFonts w:ascii="TheSans UHH" w:hAnsi="TheSans UHH"/>
          <w:b/>
        </w:rPr>
        <w:t>Rüsch</w:t>
      </w:r>
      <w:proofErr w:type="spellEnd"/>
      <w:r>
        <w:rPr>
          <w:rFonts w:ascii="TheSans UHH" w:hAnsi="TheSans UHH"/>
          <w:b/>
        </w:rPr>
        <w:t xml:space="preserve">, N.; </w:t>
      </w:r>
      <w:proofErr w:type="spellStart"/>
      <w:r>
        <w:rPr>
          <w:rFonts w:ascii="TheSans UHH" w:hAnsi="TheSans UHH"/>
          <w:b/>
        </w:rPr>
        <w:t>An</w:t>
      </w:r>
      <w:r w:rsidRPr="00F655C7">
        <w:rPr>
          <w:rFonts w:ascii="TheSans UHH" w:hAnsi="TheSans UHH"/>
          <w:b/>
        </w:rPr>
        <w:t>germeyer</w:t>
      </w:r>
      <w:proofErr w:type="spellEnd"/>
      <w:r w:rsidRPr="00F655C7">
        <w:rPr>
          <w:rFonts w:ascii="TheSans UHH" w:hAnsi="TheSans UHH"/>
          <w:b/>
        </w:rPr>
        <w:t>, M. C.; Corrigan, P. W.:</w:t>
      </w:r>
      <w:r>
        <w:rPr>
          <w:rFonts w:ascii="TheSans UHH" w:hAnsi="TheSans UHH"/>
        </w:rPr>
        <w:t xml:space="preserve"> Das Stigma psychischer Erkrankung: Ko</w:t>
      </w:r>
      <w:r w:rsidR="00723D55">
        <w:rPr>
          <w:rFonts w:ascii="TheSans UHH" w:hAnsi="TheSans UHH"/>
        </w:rPr>
        <w:t>n</w:t>
      </w:r>
      <w:r>
        <w:rPr>
          <w:rFonts w:ascii="TheSans UHH" w:hAnsi="TheSans UHH"/>
        </w:rPr>
        <w:t>zepte, Formen, Folgen, in: Psychiatrische Praxis, 32. Jg. 2005, S. 221-232.</w:t>
      </w:r>
    </w:p>
    <w:p w:rsidR="000E6F39" w:rsidRPr="0032683F" w:rsidRDefault="00723D55" w:rsidP="00E83939">
      <w:pPr>
        <w:jc w:val="both"/>
        <w:rPr>
          <w:rFonts w:ascii="TheSans UHH" w:hAnsi="TheSans UHH"/>
          <w:b/>
        </w:rPr>
      </w:pPr>
      <w:r w:rsidRPr="0032683F">
        <w:rPr>
          <w:rFonts w:ascii="TheSans UHH" w:hAnsi="TheSans UHH"/>
          <w:b/>
        </w:rPr>
        <w:t>Vier</w:t>
      </w:r>
      <w:r w:rsidR="000E6F39" w:rsidRPr="0032683F">
        <w:rPr>
          <w:rFonts w:ascii="TheSans UHH" w:hAnsi="TheSans UHH"/>
          <w:b/>
        </w:rPr>
        <w:t xml:space="preserve"> </w:t>
      </w:r>
      <w:r w:rsidR="0032683F" w:rsidRPr="0032683F">
        <w:rPr>
          <w:rFonts w:ascii="TheSans UHH" w:hAnsi="TheSans UHH"/>
          <w:b/>
        </w:rPr>
        <w:t>Medienb</w:t>
      </w:r>
      <w:r w:rsidR="000E6F39" w:rsidRPr="0032683F">
        <w:rPr>
          <w:rFonts w:ascii="TheSans UHH" w:hAnsi="TheSans UHH"/>
          <w:b/>
        </w:rPr>
        <w:t xml:space="preserve">erichte </w:t>
      </w:r>
      <w:r w:rsidR="0032683F" w:rsidRPr="0032683F">
        <w:rPr>
          <w:rFonts w:ascii="TheSans UHH" w:hAnsi="TheSans UHH"/>
          <w:b/>
        </w:rPr>
        <w:t>zum Thema „Offenbar</w:t>
      </w:r>
      <w:r w:rsidR="00950A66">
        <w:rPr>
          <w:rFonts w:ascii="TheSans UHH" w:hAnsi="TheSans UHH"/>
          <w:b/>
        </w:rPr>
        <w:t>en</w:t>
      </w:r>
      <w:r w:rsidR="0032683F" w:rsidRPr="0032683F">
        <w:rPr>
          <w:rFonts w:ascii="TheSans UHH" w:hAnsi="TheSans UHH"/>
          <w:b/>
        </w:rPr>
        <w:t>“:</w:t>
      </w:r>
    </w:p>
    <w:p w:rsidR="000E6F39" w:rsidRDefault="000E6F39" w:rsidP="00E83939">
      <w:pPr>
        <w:pStyle w:val="Listenabsatz"/>
        <w:numPr>
          <w:ilvl w:val="0"/>
          <w:numId w:val="1"/>
        </w:numPr>
        <w:ind w:left="454" w:hanging="454"/>
        <w:jc w:val="both"/>
        <w:rPr>
          <w:rFonts w:ascii="TheSans UHH" w:hAnsi="TheSans UHH"/>
        </w:rPr>
      </w:pPr>
      <w:r w:rsidRPr="007E7AD8">
        <w:rPr>
          <w:rFonts w:ascii="TheSans UHH" w:hAnsi="TheSans UHH"/>
        </w:rPr>
        <w:t xml:space="preserve">„Das ist meine Sache“ </w:t>
      </w:r>
      <w:r w:rsidR="007E7AD8" w:rsidRPr="007E7AD8">
        <w:rPr>
          <w:rFonts w:ascii="TheSans UHH" w:hAnsi="TheSans UHH"/>
        </w:rPr>
        <w:t>-</w:t>
      </w:r>
      <w:r w:rsidRPr="007E7AD8">
        <w:rPr>
          <w:rFonts w:ascii="TheSans UHH" w:hAnsi="TheSans UHH"/>
        </w:rPr>
        <w:t xml:space="preserve"> Sp</w:t>
      </w:r>
      <w:r w:rsidR="007E7AD8" w:rsidRPr="007E7AD8">
        <w:rPr>
          <w:rFonts w:ascii="TheSans UHH" w:hAnsi="TheSans UHH"/>
        </w:rPr>
        <w:t>i</w:t>
      </w:r>
      <w:r w:rsidRPr="007E7AD8">
        <w:rPr>
          <w:rFonts w:ascii="TheSans UHH" w:hAnsi="TheSans UHH"/>
        </w:rPr>
        <w:t xml:space="preserve">egel-Gespräch mit </w:t>
      </w:r>
      <w:proofErr w:type="spellStart"/>
      <w:r w:rsidRPr="007E7AD8">
        <w:rPr>
          <w:rFonts w:ascii="TheSans UHH" w:hAnsi="TheSans UHH"/>
        </w:rPr>
        <w:t>Malu</w:t>
      </w:r>
      <w:proofErr w:type="spellEnd"/>
      <w:r w:rsidRPr="007E7AD8">
        <w:rPr>
          <w:rFonts w:ascii="TheSans UHH" w:hAnsi="TheSans UHH"/>
        </w:rPr>
        <w:t xml:space="preserve"> Dreyer, Der Spiegel</w:t>
      </w:r>
      <w:r w:rsidR="007E7AD8">
        <w:rPr>
          <w:rFonts w:ascii="TheSans UHH" w:hAnsi="TheSans UHH"/>
        </w:rPr>
        <w:t>,</w:t>
      </w:r>
      <w:r w:rsidRPr="007E7AD8">
        <w:rPr>
          <w:rFonts w:ascii="TheSans UHH" w:hAnsi="TheSans UHH"/>
        </w:rPr>
        <w:t xml:space="preserve"> 43/2012, S. 38-40</w:t>
      </w:r>
    </w:p>
    <w:p w:rsidR="00723D55" w:rsidRPr="007E7AD8" w:rsidRDefault="0032683F" w:rsidP="00E83939">
      <w:pPr>
        <w:pStyle w:val="Listenabsatz"/>
        <w:numPr>
          <w:ilvl w:val="0"/>
          <w:numId w:val="1"/>
        </w:numPr>
        <w:ind w:left="454" w:hanging="454"/>
        <w:jc w:val="both"/>
        <w:rPr>
          <w:rFonts w:ascii="TheSans UHH" w:hAnsi="TheSans UHH"/>
        </w:rPr>
      </w:pPr>
      <w:r>
        <w:rPr>
          <w:rFonts w:ascii="TheSans UHH" w:hAnsi="TheSans UHH"/>
        </w:rPr>
        <w:t>„</w:t>
      </w:r>
      <w:r w:rsidR="00723D55">
        <w:rPr>
          <w:rFonts w:ascii="TheSans UHH" w:hAnsi="TheSans UHH"/>
        </w:rPr>
        <w:t xml:space="preserve">Lindsay </w:t>
      </w:r>
      <w:proofErr w:type="spellStart"/>
      <w:r w:rsidR="00723D55">
        <w:rPr>
          <w:rFonts w:ascii="TheSans UHH" w:hAnsi="TheSans UHH"/>
        </w:rPr>
        <w:t>Vonn</w:t>
      </w:r>
      <w:proofErr w:type="spellEnd"/>
      <w:r w:rsidR="00723D55">
        <w:rPr>
          <w:rFonts w:ascii="TheSans UHH" w:hAnsi="TheSans UHH"/>
        </w:rPr>
        <w:t xml:space="preserve"> zeigte sich nach Outing erleichtert</w:t>
      </w:r>
      <w:r>
        <w:rPr>
          <w:rFonts w:ascii="TheSans UHH" w:hAnsi="TheSans UHH"/>
        </w:rPr>
        <w:t>“</w:t>
      </w:r>
      <w:r w:rsidR="00723D55">
        <w:rPr>
          <w:rFonts w:ascii="TheSans UHH" w:hAnsi="TheSans UHH"/>
        </w:rPr>
        <w:t>, skionline.ch vom 15. Dezember 2012</w:t>
      </w:r>
    </w:p>
    <w:p w:rsidR="000E6F39" w:rsidRDefault="007E7AD8" w:rsidP="00E83939">
      <w:pPr>
        <w:pStyle w:val="Listenabsatz"/>
        <w:numPr>
          <w:ilvl w:val="0"/>
          <w:numId w:val="1"/>
        </w:numPr>
        <w:ind w:left="454" w:hanging="454"/>
        <w:jc w:val="both"/>
        <w:rPr>
          <w:rFonts w:ascii="TheSans UHH" w:hAnsi="TheSans UHH"/>
        </w:rPr>
      </w:pPr>
      <w:r>
        <w:rPr>
          <w:rFonts w:ascii="TheSans UHH" w:hAnsi="TheSans UHH"/>
        </w:rPr>
        <w:t xml:space="preserve">„Beamtenprüfung - </w:t>
      </w:r>
      <w:r w:rsidR="000E6F39" w:rsidRPr="007E7AD8">
        <w:rPr>
          <w:rFonts w:ascii="TheSans UHH" w:hAnsi="TheSans UHH"/>
        </w:rPr>
        <w:t>Gesund für einen Tag</w:t>
      </w:r>
      <w:r w:rsidRPr="007E7AD8">
        <w:rPr>
          <w:rFonts w:ascii="TheSans UHH" w:hAnsi="TheSans UHH"/>
        </w:rPr>
        <w:t>“</w:t>
      </w:r>
      <w:r w:rsidR="00153635">
        <w:rPr>
          <w:rFonts w:ascii="TheSans UHH" w:hAnsi="TheSans UHH"/>
        </w:rPr>
        <w:t xml:space="preserve">, </w:t>
      </w:r>
      <w:r w:rsidRPr="007E7AD8">
        <w:rPr>
          <w:rFonts w:ascii="TheSans UHH" w:hAnsi="TheSans UHH"/>
        </w:rPr>
        <w:t>Spiegel Online vom 23. Januar 2013</w:t>
      </w:r>
    </w:p>
    <w:p w:rsidR="000E6F39" w:rsidRPr="00E83939" w:rsidRDefault="00876C7C" w:rsidP="00E83939">
      <w:pPr>
        <w:pStyle w:val="Listenabsatz"/>
        <w:numPr>
          <w:ilvl w:val="0"/>
          <w:numId w:val="1"/>
        </w:numPr>
        <w:ind w:left="454" w:hanging="454"/>
        <w:jc w:val="both"/>
        <w:rPr>
          <w:rFonts w:ascii="TheSans UHH" w:hAnsi="TheSans UHH"/>
        </w:rPr>
      </w:pPr>
      <w:r>
        <w:rPr>
          <w:rFonts w:ascii="TheSans UHH" w:hAnsi="TheSans UHH"/>
        </w:rPr>
        <w:t>„Homosexuelle im Job – Es gibt Zweckehen im Top-Management“, Spiegel Online vom10. Mai 2013</w:t>
      </w:r>
      <w:bookmarkStart w:id="0" w:name="_GoBack"/>
      <w:bookmarkEnd w:id="0"/>
    </w:p>
    <w:sectPr w:rsidR="000E6F39" w:rsidRPr="00E83939" w:rsidSect="00022D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eSans UHH">
    <w:panose1 w:val="020B0502050302020203"/>
    <w:charset w:val="00"/>
    <w:family w:val="swiss"/>
    <w:pitch w:val="variable"/>
    <w:sig w:usb0="A00000FF" w:usb1="5000E0FB" w:usb2="00000000" w:usb3="00000000" w:csb0="0000009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2ED4"/>
    <w:multiLevelType w:val="hybridMultilevel"/>
    <w:tmpl w:val="603653A8"/>
    <w:lvl w:ilvl="0" w:tplc="E252F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E64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287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B68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063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FA0A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F67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50C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769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2887E5C"/>
    <w:multiLevelType w:val="hybridMultilevel"/>
    <w:tmpl w:val="68D2BD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63FF4"/>
    <w:multiLevelType w:val="hybridMultilevel"/>
    <w:tmpl w:val="DC2ACF6C"/>
    <w:lvl w:ilvl="0" w:tplc="99968FB0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5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05"/>
    <w:rsid w:val="00022D9E"/>
    <w:rsid w:val="000367F2"/>
    <w:rsid w:val="0004588E"/>
    <w:rsid w:val="00050239"/>
    <w:rsid w:val="000515B4"/>
    <w:rsid w:val="00090272"/>
    <w:rsid w:val="000B79BB"/>
    <w:rsid w:val="000E6F39"/>
    <w:rsid w:val="000F6414"/>
    <w:rsid w:val="00153635"/>
    <w:rsid w:val="001968D8"/>
    <w:rsid w:val="001D3E61"/>
    <w:rsid w:val="002025FD"/>
    <w:rsid w:val="0032310F"/>
    <w:rsid w:val="0032683F"/>
    <w:rsid w:val="003351EF"/>
    <w:rsid w:val="00344C66"/>
    <w:rsid w:val="003A2510"/>
    <w:rsid w:val="00446991"/>
    <w:rsid w:val="00476E2F"/>
    <w:rsid w:val="00490D60"/>
    <w:rsid w:val="00636864"/>
    <w:rsid w:val="00687080"/>
    <w:rsid w:val="006A3F83"/>
    <w:rsid w:val="00702F88"/>
    <w:rsid w:val="00723D55"/>
    <w:rsid w:val="00765EE5"/>
    <w:rsid w:val="0076707E"/>
    <w:rsid w:val="007B7D72"/>
    <w:rsid w:val="007D536D"/>
    <w:rsid w:val="007E7AD8"/>
    <w:rsid w:val="00876C7C"/>
    <w:rsid w:val="008A6A9A"/>
    <w:rsid w:val="00944F8F"/>
    <w:rsid w:val="00950A66"/>
    <w:rsid w:val="00A85C82"/>
    <w:rsid w:val="00B222DD"/>
    <w:rsid w:val="00B25581"/>
    <w:rsid w:val="00B43450"/>
    <w:rsid w:val="00B65F8B"/>
    <w:rsid w:val="00B76B56"/>
    <w:rsid w:val="00BC7905"/>
    <w:rsid w:val="00C22DA4"/>
    <w:rsid w:val="00C91CA9"/>
    <w:rsid w:val="00CE255F"/>
    <w:rsid w:val="00D00537"/>
    <w:rsid w:val="00E05690"/>
    <w:rsid w:val="00E47F95"/>
    <w:rsid w:val="00E83939"/>
    <w:rsid w:val="00F22D4A"/>
    <w:rsid w:val="00F458FE"/>
    <w:rsid w:val="00F655C7"/>
    <w:rsid w:val="00FC3222"/>
    <w:rsid w:val="00FD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A85C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76C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A85C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5C82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5C82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A85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A85C82"/>
    <w:rPr>
      <w:i/>
      <w:iCs/>
    </w:rPr>
  </w:style>
  <w:style w:type="paragraph" w:styleId="Listenabsatz">
    <w:name w:val="List Paragraph"/>
    <w:basedOn w:val="Standard"/>
    <w:uiPriority w:val="34"/>
    <w:qFormat/>
    <w:rsid w:val="000515B4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876C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articletopicline">
    <w:name w:val="sparticletopicline"/>
    <w:basedOn w:val="Absatz-Standardschriftart"/>
    <w:rsid w:val="00876C7C"/>
  </w:style>
  <w:style w:type="character" w:customStyle="1" w:styleId="sparticleheadline">
    <w:name w:val="sparticleheadline"/>
    <w:basedOn w:val="Absatz-Standardschriftart"/>
    <w:rsid w:val="00876C7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6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6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A85C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76C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A85C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5C82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5C82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A85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A85C82"/>
    <w:rPr>
      <w:i/>
      <w:iCs/>
    </w:rPr>
  </w:style>
  <w:style w:type="paragraph" w:styleId="Listenabsatz">
    <w:name w:val="List Paragraph"/>
    <w:basedOn w:val="Standard"/>
    <w:uiPriority w:val="34"/>
    <w:qFormat/>
    <w:rsid w:val="000515B4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876C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articletopicline">
    <w:name w:val="sparticletopicline"/>
    <w:basedOn w:val="Absatz-Standardschriftart"/>
    <w:rsid w:val="00876C7C"/>
  </w:style>
  <w:style w:type="character" w:customStyle="1" w:styleId="sparticleheadline">
    <w:name w:val="sparticleheadline"/>
    <w:basedOn w:val="Absatz-Standardschriftart"/>
    <w:rsid w:val="00876C7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6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6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9348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Gattermann-Kasper</dc:creator>
  <cp:lastModifiedBy>Gattermann-Kasper</cp:lastModifiedBy>
  <cp:revision>30</cp:revision>
  <cp:lastPrinted>2013-06-02T11:47:00Z</cp:lastPrinted>
  <dcterms:created xsi:type="dcterms:W3CDTF">2013-03-17T19:07:00Z</dcterms:created>
  <dcterms:modified xsi:type="dcterms:W3CDTF">2013-06-04T20:32:00Z</dcterms:modified>
</cp:coreProperties>
</file>